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E8" w:rsidRPr="00690AE8" w:rsidRDefault="00690AE8" w:rsidP="00690AE8">
      <w:pPr>
        <w:spacing w:after="0" w:line="240" w:lineRule="auto"/>
        <w:rPr>
          <w:rFonts w:ascii="Swiss721BT-Bold" w:eastAsia="Times New Roman" w:hAnsi="Swiss721BT-Bold" w:cs="Arial"/>
          <w:b/>
          <w:color w:val="007377"/>
          <w:sz w:val="24"/>
          <w:szCs w:val="20"/>
          <w:lang w:val="en" w:eastAsia="en-US"/>
        </w:rPr>
      </w:pPr>
      <w:r w:rsidRPr="00690AE8">
        <w:rPr>
          <w:rFonts w:ascii="Swiss721BT-Bold" w:eastAsia="Times New Roman" w:hAnsi="Swiss721BT-Bold" w:cs="Arial"/>
          <w:b/>
          <w:color w:val="007377"/>
          <w:sz w:val="24"/>
          <w:szCs w:val="20"/>
          <w:lang w:val="en" w:eastAsia="en-US"/>
          <w:specVanish/>
        </w:rPr>
        <w:t xml:space="preserve">KNOW STUDENTS AND HOW </w:t>
      </w:r>
      <w:bookmarkStart w:id="0" w:name="_GoBack"/>
      <w:bookmarkEnd w:id="0"/>
      <w:r w:rsidRPr="00690AE8">
        <w:rPr>
          <w:rFonts w:ascii="Swiss721BT-Bold" w:eastAsia="Times New Roman" w:hAnsi="Swiss721BT-Bold" w:cs="Arial"/>
          <w:b/>
          <w:color w:val="007377"/>
          <w:sz w:val="24"/>
          <w:szCs w:val="20"/>
          <w:lang w:val="en" w:eastAsia="en-US"/>
          <w:specVanish/>
        </w:rPr>
        <w:t>THEY LEARN</w:t>
      </w:r>
    </w:p>
    <w:p w:rsidR="00690AE8" w:rsidRPr="00690AE8" w:rsidRDefault="00690AE8" w:rsidP="00690AE8">
      <w:pPr>
        <w:spacing w:after="0" w:line="240" w:lineRule="auto"/>
        <w:rPr>
          <w:rFonts w:ascii="Swiss721BT-Bold" w:eastAsia="Times New Roman" w:hAnsi="Swiss721BT-Bold" w:cs="Arial"/>
          <w:color w:val="007377"/>
          <w:sz w:val="24"/>
          <w:szCs w:val="20"/>
          <w:lang w:val="en" w:eastAsia="en-US"/>
        </w:rPr>
      </w:pPr>
      <w:r w:rsidRPr="00690AE8">
        <w:rPr>
          <w:rFonts w:ascii="Swiss721BT-Bold" w:eastAsia="Times New Roman" w:hAnsi="Swiss721BT-Bold" w:cs="Arial"/>
          <w:color w:val="007377"/>
          <w:sz w:val="24"/>
          <w:szCs w:val="20"/>
          <w:lang w:val="en" w:eastAsia="en-US"/>
          <w:specVanish/>
        </w:rPr>
        <w:t xml:space="preserve">Can you please provide summary information for your school / students that identify 1 or 2 key strategies or background information that NKIEEC staff could </w:t>
      </w:r>
      <w:proofErr w:type="spellStart"/>
      <w:r w:rsidRPr="00690AE8">
        <w:rPr>
          <w:rFonts w:ascii="Swiss721BT-Bold" w:eastAsia="Times New Roman" w:hAnsi="Swiss721BT-Bold" w:cs="Arial"/>
          <w:color w:val="007377"/>
          <w:sz w:val="24"/>
          <w:szCs w:val="20"/>
          <w:lang w:val="en" w:eastAsia="en-US"/>
          <w:specVanish/>
        </w:rPr>
        <w:t>utilise</w:t>
      </w:r>
      <w:proofErr w:type="spellEnd"/>
      <w:r w:rsidRPr="00690AE8">
        <w:rPr>
          <w:rFonts w:ascii="Swiss721BT-Bold" w:eastAsia="Times New Roman" w:hAnsi="Swiss721BT-Bold" w:cs="Arial"/>
          <w:color w:val="007377"/>
          <w:sz w:val="24"/>
          <w:szCs w:val="20"/>
          <w:lang w:val="en" w:eastAsia="en-US"/>
          <w:specVanish/>
        </w:rPr>
        <w:t xml:space="preserve"> / support teaching and learning for the following: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8"/>
      </w:tblGrid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numPr>
                <w:ilvl w:val="0"/>
                <w:numId w:val="1"/>
              </w:numPr>
              <w:spacing w:after="0" w:line="240" w:lineRule="auto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  <w:r w:rsidRPr="00690AE8"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  <w:specVanish/>
              </w:rPr>
              <w:t>Students with diverse linguistic, cultural, religious and socioeconomic backgrounds</w:t>
            </w: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sz w:val="24"/>
                <w:szCs w:val="20"/>
                <w:lang w:val="en" w:eastAsia="en-US"/>
              </w:rPr>
            </w:pP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numPr>
                <w:ilvl w:val="0"/>
                <w:numId w:val="1"/>
              </w:numPr>
              <w:spacing w:after="0" w:line="240" w:lineRule="auto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  <w:r w:rsidRPr="00690AE8"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  <w:specVanish/>
              </w:rPr>
              <w:t>Strategies for teaching Aboriginal and Torres Strait Islander students</w:t>
            </w:r>
            <w:r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  <w:t xml:space="preserve"> that work at your school</w:t>
            </w:r>
          </w:p>
          <w:p w:rsidR="00690AE8" w:rsidRPr="00690AE8" w:rsidRDefault="00690AE8" w:rsidP="00690AE8">
            <w:pPr>
              <w:spacing w:after="0" w:line="240" w:lineRule="auto"/>
              <w:ind w:left="720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</w:p>
          <w:p w:rsidR="00690AE8" w:rsidRPr="00690AE8" w:rsidRDefault="00690AE8" w:rsidP="00690AE8">
            <w:pPr>
              <w:spacing w:after="0" w:line="240" w:lineRule="auto"/>
              <w:ind w:left="720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numPr>
                <w:ilvl w:val="0"/>
                <w:numId w:val="1"/>
              </w:numPr>
              <w:spacing w:after="0" w:line="240" w:lineRule="auto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  <w:r w:rsidRPr="00690AE8"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  <w:specVanish/>
              </w:rPr>
              <w:t>Strategies to differentiate teaching to meet the specific learning needs of students across the full range of abilities</w:t>
            </w:r>
            <w:r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  <w:t xml:space="preserve"> that work with your students</w:t>
            </w: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sz w:val="24"/>
                <w:szCs w:val="20"/>
                <w:lang w:eastAsia="en-US"/>
              </w:rPr>
            </w:pP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sz w:val="24"/>
                <w:szCs w:val="20"/>
                <w:lang w:eastAsia="en-US"/>
              </w:rPr>
            </w:pP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sz w:val="24"/>
                <w:szCs w:val="20"/>
                <w:lang w:eastAsia="en-US"/>
              </w:rPr>
            </w:pPr>
          </w:p>
        </w:tc>
      </w:tr>
      <w:tr w:rsidR="00690AE8" w:rsidRPr="00690AE8" w:rsidTr="00690AE8">
        <w:trPr>
          <w:trHeight w:val="530"/>
        </w:trPr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0"/>
                <w:lang w:eastAsia="en-US"/>
              </w:rPr>
            </w:pPr>
            <w:r w:rsidRPr="00690AE8"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  <w:specVanish/>
              </w:rPr>
              <w:t>Strategies to support full participation of students with disability</w:t>
            </w:r>
            <w:r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  <w:t xml:space="preserve"> at NKIEEC</w:t>
            </w:r>
          </w:p>
        </w:tc>
      </w:tr>
      <w:tr w:rsidR="00690AE8" w:rsidRPr="00690AE8" w:rsidTr="00690AE8">
        <w:trPr>
          <w:trHeight w:val="530"/>
        </w:trPr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sz w:val="24"/>
                <w:szCs w:val="20"/>
                <w:lang w:eastAsia="en-US"/>
              </w:rPr>
            </w:pPr>
          </w:p>
        </w:tc>
      </w:tr>
      <w:tr w:rsidR="00690AE8" w:rsidRPr="00690AE8" w:rsidTr="00690AE8">
        <w:trPr>
          <w:trHeight w:val="530"/>
        </w:trPr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sz w:val="24"/>
                <w:szCs w:val="20"/>
                <w:lang w:eastAsia="en-US"/>
              </w:rPr>
            </w:pPr>
          </w:p>
        </w:tc>
      </w:tr>
      <w:tr w:rsidR="00690AE8" w:rsidRPr="00690AE8" w:rsidTr="00690AE8">
        <w:trPr>
          <w:trHeight w:val="530"/>
        </w:trPr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rPr>
                <w:rFonts w:ascii="Swiss721BT-Bold" w:eastAsia="Times New Roman" w:hAnsi="Swiss721BT-Bold" w:cs="Arial"/>
                <w:sz w:val="24"/>
                <w:szCs w:val="20"/>
                <w:lang w:val="en" w:eastAsia="en-US"/>
              </w:rPr>
            </w:pPr>
          </w:p>
        </w:tc>
      </w:tr>
      <w:tr w:rsidR="00690AE8" w:rsidRPr="00690AE8" w:rsidTr="00690AE8">
        <w:trPr>
          <w:trHeight w:val="530"/>
        </w:trPr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numPr>
                <w:ilvl w:val="0"/>
                <w:numId w:val="1"/>
              </w:numPr>
              <w:spacing w:after="0" w:line="240" w:lineRule="auto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  <w:r w:rsidRPr="00690AE8"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  <w:specVanish/>
              </w:rPr>
              <w:t>Medical summary (medications, allergies and dietary requirements)</w:t>
            </w:r>
          </w:p>
          <w:p w:rsidR="00690AE8" w:rsidRPr="00690AE8" w:rsidRDefault="00690AE8" w:rsidP="00690AE8">
            <w:pPr>
              <w:spacing w:after="0" w:line="240" w:lineRule="auto"/>
              <w:ind w:left="720"/>
              <w:rPr>
                <w:rFonts w:ascii="Swiss721BT-Bold" w:eastAsia="Times New Roman" w:hAnsi="Swiss721BT-Bold" w:cs="Arial"/>
                <w:b/>
                <w:sz w:val="24"/>
                <w:szCs w:val="20"/>
                <w:lang w:val="en" w:eastAsia="en-US"/>
              </w:rPr>
            </w:pPr>
          </w:p>
        </w:tc>
      </w:tr>
      <w:tr w:rsidR="00690AE8" w:rsidRPr="00690AE8" w:rsidTr="00690AE8">
        <w:tc>
          <w:tcPr>
            <w:tcW w:w="13228" w:type="dxa"/>
            <w:shd w:val="clear" w:color="auto" w:fill="auto"/>
          </w:tcPr>
          <w:p w:rsidR="00690AE8" w:rsidRPr="00690AE8" w:rsidRDefault="00690AE8" w:rsidP="00690AE8">
            <w:pPr>
              <w:spacing w:after="0" w:line="240" w:lineRule="auto"/>
              <w:ind w:left="720"/>
              <w:rPr>
                <w:rFonts w:ascii="Swiss721BT-Bold" w:eastAsia="Times New Roman" w:hAnsi="Swiss721BT-Bold" w:cs="Arial"/>
                <w:b/>
                <w:color w:val="007377"/>
                <w:sz w:val="24"/>
                <w:szCs w:val="20"/>
                <w:lang w:val="en" w:eastAsia="en-US"/>
              </w:rPr>
            </w:pPr>
          </w:p>
        </w:tc>
      </w:tr>
    </w:tbl>
    <w:p w:rsidR="0088787E" w:rsidRDefault="0088787E"/>
    <w:sectPr w:rsidR="0088787E" w:rsidSect="00690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Bold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028"/>
    <w:multiLevelType w:val="hybridMultilevel"/>
    <w:tmpl w:val="F900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E8"/>
    <w:rsid w:val="00690AE8"/>
    <w:rsid w:val="008757BF"/>
    <w:rsid w:val="008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975D"/>
  <w15:chartTrackingRefBased/>
  <w15:docId w15:val="{58AE3F0A-6C25-44E1-B32B-A9F157CD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e5ef8963-1389-4698-b371-67961dfb8419">2021-07-16T14:00:00+00:00</PPReviewDate>
    <PPReferenceNumber xmlns="e5ef8963-1389-4698-b371-67961dfb8419" xsi:nil="true"/>
    <PPModeratedBy xmlns="e5ef8963-1389-4698-b371-67961dfb8419">
      <UserInfo>
        <DisplayName>HOLMES, Gary</DisplayName>
        <AccountId>26</AccountId>
        <AccountType/>
      </UserInfo>
    </PPModeratedBy>
    <PPLastReviewedBy xmlns="e5ef8963-1389-4698-b371-67961dfb8419">
      <UserInfo>
        <DisplayName>HOLMES, Gary</DisplayName>
        <AccountId>26</AccountId>
        <AccountType/>
      </UserInfo>
    </PPLastReviewedBy>
    <PPContentAuthor xmlns="e5ef8963-1389-4698-b371-67961dfb8419">
      <UserInfo>
        <DisplayName>HOLMES, Gary</DisplayName>
        <AccountId>26</AccountId>
        <AccountType/>
      </UserInfo>
    </PPContentAuthor>
    <PPContentApprover xmlns="e5ef8963-1389-4698-b371-67961dfb8419">
      <UserInfo>
        <DisplayName>HOLMES, Gary</DisplayName>
        <AccountId>26</AccountId>
        <AccountType/>
      </UserInfo>
    </PPContentApprover>
    <PublishingStartDate xmlns="http://schemas.microsoft.com/sharepoint/v3" xsi:nil="true"/>
    <PPContentOwner xmlns="e5ef8963-1389-4698-b371-67961dfb8419">
      <UserInfo>
        <DisplayName>HOLMES, Gary</DisplayName>
        <AccountId>26</AccountId>
        <AccountType/>
      </UserInfo>
    </PPContentOwner>
    <PublishingExpirationDate xmlns="http://schemas.microsoft.com/sharepoint/v3" xsi:nil="true"/>
    <PPPublishedNotificationAddresses xmlns="e5ef8963-1389-4698-b371-67961dfb8419" xsi:nil="true"/>
    <PPSubmittedBy xmlns="e5ef8963-1389-4698-b371-67961dfb8419">
      <UserInfo>
        <DisplayName>HOLMES, Gary</DisplayName>
        <AccountId>26</AccountId>
        <AccountType/>
      </UserInfo>
    </PPSubmittedBy>
    <PPLastReviewedDate xmlns="e5ef8963-1389-4698-b371-67961dfb8419">2021-03-04T01:03:32+00:00</PPLastReviewedDate>
    <PPModeratedDate xmlns="e5ef8963-1389-4698-b371-67961dfb8419">2021-03-04T01:03:32+00:00</PPModeratedDate>
    <PPSubmittedDate xmlns="e5ef8963-1389-4698-b371-67961dfb8419">2021-03-04T01:03:11+00:00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5D7B4-43EE-4D92-B41A-351FA7B78D37}"/>
</file>

<file path=customXml/itemProps2.xml><?xml version="1.0" encoding="utf-8"?>
<ds:datastoreItem xmlns:ds="http://schemas.openxmlformats.org/officeDocument/2006/customXml" ds:itemID="{73248519-2046-4D68-8875-D21D46575EE3}"/>
</file>

<file path=customXml/itemProps3.xml><?xml version="1.0" encoding="utf-8"?>
<ds:datastoreItem xmlns:ds="http://schemas.openxmlformats.org/officeDocument/2006/customXml" ds:itemID="{ACC65240-0171-4BB0-AF80-F5F7AB4EA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STUDENTS AND HOW THEY LEARN 2021</dc:title>
  <dc:subject/>
  <dc:creator>GILL, Andrew (agill38)</dc:creator>
  <cp:keywords/>
  <dc:description/>
  <cp:lastModifiedBy>GILL, Andrew (agill38)</cp:lastModifiedBy>
  <cp:revision>1</cp:revision>
  <dcterms:created xsi:type="dcterms:W3CDTF">2019-11-13T01:09:00Z</dcterms:created>
  <dcterms:modified xsi:type="dcterms:W3CDTF">2019-11-13T01:25:00Z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